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7A82" w14:textId="77777777" w:rsidR="00AA4D9A" w:rsidRDefault="00D074CE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BAE1C" wp14:editId="10732085">
                <wp:simplePos x="0" y="0"/>
                <wp:positionH relativeFrom="margin">
                  <wp:posOffset>4418330</wp:posOffset>
                </wp:positionH>
                <wp:positionV relativeFrom="paragraph">
                  <wp:posOffset>119380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6AC1B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9BAE1C" id="正方形/長方形 1" o:spid="_x0000_s1026" style="position:absolute;left:0;text-align:left;margin-left:347.9pt;margin-top:9.4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" fillcolor="white [3212]" strokecolor="black [3213]" strokeweight="2pt">
                <v:textbox inset="2mm,0,2mm,0">
                  <w:txbxContent>
                    <w:p w14:paraId="5456AC1B" w14:textId="77777777"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2C0D8" w14:textId="77777777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7777777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AA441B7" w14:textId="5B0D509C" w:rsidR="00460416" w:rsidRPr="006B02AD" w:rsidRDefault="00460416" w:rsidP="0080594A">
      <w:pPr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80594A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80594A">
        <w:rPr>
          <w:rFonts w:ascii="ＭＳ ゴシック" w:eastAsia="ＭＳ ゴシック" w:hAnsi="ＭＳ ゴシック" w:hint="eastAsia"/>
          <w:sz w:val="22"/>
        </w:rPr>
        <w:t>１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～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7D310B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80594A">
        <w:rPr>
          <w:rFonts w:ascii="ＭＳ ゴシック" w:eastAsia="ＭＳ ゴシック" w:hAnsi="ＭＳ ゴシック" w:hint="eastAsia"/>
          <w:sz w:val="22"/>
        </w:rPr>
        <w:t>６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6B02AD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7E76F3EF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187233D7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80594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4F6A7BE4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38356D36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改定後の標準報酬月額に基づき、傷病手当金、出産手当金及び年金額などが算出されること。</w:t>
      </w:r>
    </w:p>
    <w:p w14:paraId="6840B0AF" w14:textId="77777777" w:rsidR="00CC2C07" w:rsidRPr="006B02AD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05CCF13C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1D285464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35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" strokecolor="#0070c0">
                <v:textbox>
                  <w:txbxContent>
                    <w:p w14:paraId="7C7521C8" w14:textId="77777777"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14:paraId="349DF70F" w14:textId="77777777"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6175" w14:textId="77777777" w:rsidR="00657E9D" w:rsidRDefault="00657E9D" w:rsidP="00482FC4">
      <w:r>
        <w:separator/>
      </w:r>
    </w:p>
  </w:endnote>
  <w:endnote w:type="continuationSeparator" w:id="0">
    <w:p w14:paraId="362906DB" w14:textId="77777777" w:rsidR="00657E9D" w:rsidRDefault="00657E9D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5AC8" w14:textId="77777777" w:rsidR="00657E9D" w:rsidRDefault="00657E9D" w:rsidP="00482FC4">
      <w:r>
        <w:separator/>
      </w:r>
    </w:p>
  </w:footnote>
  <w:footnote w:type="continuationSeparator" w:id="0">
    <w:p w14:paraId="2A4E908B" w14:textId="77777777" w:rsidR="00657E9D" w:rsidRDefault="00657E9D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9F"/>
    <w:rsid w:val="00030B8D"/>
    <w:rsid w:val="00073E08"/>
    <w:rsid w:val="000B2C2B"/>
    <w:rsid w:val="000F5178"/>
    <w:rsid w:val="0011537B"/>
    <w:rsid w:val="00117D8C"/>
    <w:rsid w:val="00117EC5"/>
    <w:rsid w:val="001279B4"/>
    <w:rsid w:val="00146A73"/>
    <w:rsid w:val="001668FB"/>
    <w:rsid w:val="00182EF4"/>
    <w:rsid w:val="001C213C"/>
    <w:rsid w:val="001C6991"/>
    <w:rsid w:val="001D1E25"/>
    <w:rsid w:val="001D2FC2"/>
    <w:rsid w:val="001D34F9"/>
    <w:rsid w:val="002519CC"/>
    <w:rsid w:val="002553C4"/>
    <w:rsid w:val="00262997"/>
    <w:rsid w:val="00267C39"/>
    <w:rsid w:val="00273E8F"/>
    <w:rsid w:val="002A4D59"/>
    <w:rsid w:val="002C3EC6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603EA"/>
    <w:rsid w:val="00460416"/>
    <w:rsid w:val="00466037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57E9D"/>
    <w:rsid w:val="006B02AD"/>
    <w:rsid w:val="006D13F3"/>
    <w:rsid w:val="006D216E"/>
    <w:rsid w:val="006E21E6"/>
    <w:rsid w:val="006E64FC"/>
    <w:rsid w:val="007339BB"/>
    <w:rsid w:val="00755733"/>
    <w:rsid w:val="007577E6"/>
    <w:rsid w:val="00762F24"/>
    <w:rsid w:val="00764551"/>
    <w:rsid w:val="00765CC5"/>
    <w:rsid w:val="007917B9"/>
    <w:rsid w:val="007A07FE"/>
    <w:rsid w:val="007B4EAD"/>
    <w:rsid w:val="007C0ADA"/>
    <w:rsid w:val="007C5EA6"/>
    <w:rsid w:val="007D207C"/>
    <w:rsid w:val="007D310B"/>
    <w:rsid w:val="007F5071"/>
    <w:rsid w:val="0080594A"/>
    <w:rsid w:val="008241D3"/>
    <w:rsid w:val="00824DE8"/>
    <w:rsid w:val="0084631A"/>
    <w:rsid w:val="00870235"/>
    <w:rsid w:val="0088681D"/>
    <w:rsid w:val="008D108E"/>
    <w:rsid w:val="0097344B"/>
    <w:rsid w:val="00995C43"/>
    <w:rsid w:val="00A35001"/>
    <w:rsid w:val="00A42C16"/>
    <w:rsid w:val="00A476B3"/>
    <w:rsid w:val="00A51A1B"/>
    <w:rsid w:val="00A55792"/>
    <w:rsid w:val="00A61CA7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81DF4"/>
    <w:rsid w:val="00B92889"/>
    <w:rsid w:val="00BB649A"/>
    <w:rsid w:val="00BE0141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50126"/>
    <w:rsid w:val="00E603B4"/>
    <w:rsid w:val="00E611E8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4367C"/>
    <w:rsid w:val="00F91FD2"/>
    <w:rsid w:val="00F96705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真理子(watanabe-mariko.j83)</dc:creator>
  <cp:keywords/>
  <dc:description/>
  <cp:lastModifiedBy>PC10</cp:lastModifiedBy>
  <cp:revision>2</cp:revision>
  <cp:lastPrinted>2022-03-30T07:35:00Z</cp:lastPrinted>
  <dcterms:created xsi:type="dcterms:W3CDTF">2022-03-30T07:36:00Z</dcterms:created>
  <dcterms:modified xsi:type="dcterms:W3CDTF">2022-03-30T07:36:00Z</dcterms:modified>
</cp:coreProperties>
</file>